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62" w:name="política-de-gestão-de-terceiros"/>
    <w:p>
      <w:pPr>
        <w:pStyle w:val="Ttulo1"/>
      </w:pPr>
      <w:r>
        <w:t xml:space="preserve">Política de Gestão de Terceiros</w:t>
      </w:r>
    </w:p>
    <w:p>
      <w:pPr>
        <w:pStyle w:val="FirstParagraph"/>
      </w:pPr>
      <w:r>
        <w:t xml:space="preserve">📥</w:t>
      </w:r>
      <w:r>
        <w:t xml:space="preserve"> </w:t>
      </w:r>
      <w:r>
        <w:t xml:space="preserve">Download deste documento em formato editável</w:t>
      </w:r>
      <w:r>
        <w:t xml:space="preserve"> </w:t>
      </w:r>
      <w:r>
        <w:t xml:space="preserve">DOCX</w:t>
      </w:r>
    </w:p>
    <w:p>
      <w:pPr>
        <w:pStyle w:val="BodyText"/>
      </w:pPr>
      <w:r>
        <w:t xml:space="preserve">Obrigatório</w:t>
      </w:r>
    </w:p>
    <w:p>
      <w:pPr>
        <w:pStyle w:val="BodyText"/>
      </w:pPr>
      <w:r>
        <w:rPr>
          <w:bCs/>
          <w:b/>
        </w:rPr>
        <w:t xml:space="preserve">Codigo</w:t>
      </w:r>
      <w:r>
        <w:t xml:space="preserve">: POL-TER-001</w:t>
      </w:r>
      <w:r>
        <w:t xml:space="preserve"> </w:t>
      </w:r>
      <w:r>
        <w:rPr>
          <w:bCs/>
          <w:b/>
        </w:rPr>
        <w:t xml:space="preserve">Versao</w:t>
      </w:r>
      <w:r>
        <w:t xml:space="preserve">: 1.0</w:t>
      </w:r>
      <w:r>
        <w:t xml:space="preserve"> </w:t>
      </w:r>
      <w:r>
        <w:rPr>
          <w:bCs/>
          <w:b/>
        </w:rPr>
        <w:t xml:space="preserve">Aprovacao</w:t>
      </w:r>
      <w:r>
        <w:t xml:space="preserve">: 01 de dezembro de 2025</w:t>
      </w:r>
      <w:r>
        <w:t xml:space="preserve"> </w:t>
      </w:r>
      <w:r>
        <w:rPr>
          <w:bCs/>
          <w:b/>
        </w:rPr>
        <w:t xml:space="preserve">Classificacao</w:t>
      </w:r>
      <w:r>
        <w:t xml:space="preserve">: Uso Interno</w:t>
      </w:r>
    </w:p>
    <w:p>
      <w:r>
        <w:pict>
          <v:rect style="width:0;height:1.5pt" o:hralign="center" o:hrstd="t" o:hr="t"/>
        </w:pict>
      </w:r>
    </w:p>
    <w:bookmarkStart w:id="21" w:name="objetivo"/>
    <w:p>
      <w:pPr>
        <w:pStyle w:val="Ttulo2"/>
      </w:pPr>
      <w:r>
        <w:t xml:space="preserve">1. Objetivo</w:t>
      </w:r>
    </w:p>
    <w:p>
      <w:pPr>
        <w:pStyle w:val="FirstParagraph"/>
      </w:pPr>
      <w:r>
        <w:t xml:space="preserve">Estabelecer diretrizes e procedimentos para avaliacao, homologacao, contratacao e monitoramento de terceiros que tenham acesso ou tratem dados pessoais em nome da</w:t>
      </w:r>
      <w:r>
        <w:t xml:space="preserve"> </w:t>
      </w:r>
      <w:r>
        <w:rPr>
          <w:bCs/>
          <w:b/>
        </w:rPr>
        <w:t xml:space="preserve">iScholar Tecnologia Educacional Ltda</w:t>
      </w:r>
      <w:r>
        <w:t xml:space="preserve">, assegurando conformidade com os Arts. 39 e 46 da LGPD.</w:t>
      </w:r>
    </w:p>
    <w:bookmarkStart w:id="20" w:name="terceiros-atuais-da-ischolar"/>
    <w:p>
      <w:pPr>
        <w:pStyle w:val="Ttulo3"/>
      </w:pPr>
      <w:r>
        <w:t xml:space="preserve">Terceiros Atuais da iScholar</w:t>
      </w:r>
    </w:p>
    <w:tbl>
      <w:tblPr>
        <w:tblStyle w:val="Table"/>
        <w:tblW w:type="auto" w:w="0"/>
        <w:tblLook w:firstRow="1" w:lastRow="0" w:firstColumn="0" w:lastColumn="0" w:noHBand="0" w:noVBand="0" w:val="0020"/>
        <w:jc w:val="start"/>
      </w:tblPr>
      <w:tblGrid>
        <w:gridCol w:w="1980"/>
        <w:gridCol w:w="1980"/>
        <w:gridCol w:w="1980"/>
        <w:gridCol w:w="198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Terceiro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Servico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Risco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Localizacao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Amazon Web Services (AWS)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Hospedagem, banco de dados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Alto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EUA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PJBank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Gateway de pagamentos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Medio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Brasil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Parceiros de integracao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APIs homologadas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Medio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Variavel</w:t>
            </w:r>
          </w:p>
        </w:tc>
      </w:tr>
    </w:tbl>
    <w:p>
      <w:r>
        <w:pict>
          <v:rect style="width:0;height:1.5pt" o:hralign="center" o:hrstd="t" o:hr="t"/>
        </w:pict>
      </w:r>
    </w:p>
    <w:bookmarkEnd w:id="20"/>
    <w:bookmarkEnd w:id="21"/>
    <w:bookmarkStart w:id="24" w:name="escopo"/>
    <w:p>
      <w:pPr>
        <w:pStyle w:val="Ttulo2"/>
      </w:pPr>
      <w:r>
        <w:t xml:space="preserve">2. Escopo</w:t>
      </w:r>
    </w:p>
    <w:bookmarkStart w:id="22" w:name="aplica-se-a"/>
    <w:p>
      <w:pPr>
        <w:pStyle w:val="Ttulo3"/>
      </w:pPr>
      <w:r>
        <w:t xml:space="preserve">2.1 Aplica-se a:</w:t>
      </w:r>
    </w:p>
    <w:tbl>
      <w:tblPr>
        <w:tblStyle w:val="Table"/>
        <w:tblW w:type="pct" w:w="5000"/>
        <w:tblLook w:firstRow="1" w:lastRow="0" w:firstColumn="0" w:lastColumn="0" w:noHBand="0" w:noVBand="0" w:val="0020"/>
        <w:jc w:val="start"/>
      </w:tblPr>
      <w:tblGrid>
        <w:gridCol w:w="2722"/>
        <w:gridCol w:w="2722"/>
        <w:gridCol w:w="2475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Categoria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Descrição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Exemplos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Suboperadores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Terceiros que tratam dados em nosso nome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Provedores de cloud, serviços de e-mail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Parceiros de Negócio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Empresas com integração de sistemas ou dados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Integrações, APIs de terceiros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Fornecedores de TI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Prestadores de serviços tecnológicos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Suporte, desenvolvimento, consultoria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Fornecedores com Acesso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Qualquer fornecedor com acesso a dados pessoais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Manutenção, limpeza com acesso a áreas restritas</w:t>
            </w:r>
          </w:p>
        </w:tc>
      </w:tr>
    </w:tbl>
    <w:bookmarkEnd w:id="22"/>
    <w:bookmarkStart w:id="23" w:name="não-se-aplica-a"/>
    <w:p>
      <w:pPr>
        <w:pStyle w:val="Ttulo3"/>
      </w:pPr>
      <w:r>
        <w:t xml:space="preserve">2.2 Não se aplica a:</w:t>
      </w:r>
    </w:p>
    <w:p>
      <w:pPr>
        <w:numPr>
          <w:ilvl w:val="0"/>
          <w:numId w:val="1001"/>
        </w:numPr>
        <w:pStyle w:val="Compact"/>
      </w:pPr>
      <w:r>
        <w:t xml:space="preserve">Controladores (escolas clientes) - regidos por DPA específico</w:t>
      </w:r>
    </w:p>
    <w:p>
      <w:pPr>
        <w:numPr>
          <w:ilvl w:val="0"/>
          <w:numId w:val="1001"/>
        </w:numPr>
        <w:pStyle w:val="Compact"/>
      </w:pPr>
      <w:r>
        <w:t xml:space="preserve">Autoridades públicas em cumprimento legal</w:t>
      </w:r>
    </w:p>
    <w:p>
      <w:r>
        <w:pict>
          <v:rect style="width:0;height:1.5pt" o:hralign="center" o:hrstd="t" o:hr="t"/>
        </w:pict>
      </w:r>
    </w:p>
    <w:bookmarkEnd w:id="23"/>
    <w:bookmarkEnd w:id="24"/>
    <w:bookmarkStart w:id="27" w:name="classificação-de-terceiros-por-risco"/>
    <w:p>
      <w:pPr>
        <w:pStyle w:val="Ttulo2"/>
      </w:pPr>
      <w:r>
        <w:t xml:space="preserve">3. Classificação de Terceiros por Risco</w:t>
      </w:r>
    </w:p>
    <w:bookmarkStart w:id="25" w:name="níveis-de-risco"/>
    <w:p>
      <w:pPr>
        <w:pStyle w:val="Ttulo3"/>
      </w:pPr>
      <w:r>
        <w:t xml:space="preserve">3.1 Níveis de Risco</w:t>
      </w:r>
    </w:p>
    <w:tbl>
      <w:tblPr>
        <w:tblStyle w:val="Table"/>
        <w:tblW w:type="pct" w:w="5000"/>
        <w:tblLook w:firstRow="1" w:lastRow="0" w:firstColumn="0" w:lastColumn="0" w:noHBand="0" w:noVBand="0" w:val="0020"/>
        <w:jc w:val="start"/>
      </w:tblPr>
      <w:tblGrid>
        <w:gridCol w:w="1386"/>
        <w:gridCol w:w="2178"/>
        <w:gridCol w:w="1980"/>
        <w:gridCol w:w="2376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Nível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Critérios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Exemplos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Requisitos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Alto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Acesso a dados sensíveis ou de menores; grande volume; processamento crítico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Hospedagem principal, backup, analytics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Due diligence completa, auditoria anual, DPA robusto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Médio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Acesso a dados pessoais comuns; volume moderado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E-mail marketing, suporte técnico remoto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Questionário de segurança, DPA, revisão bienal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Baixo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Acesso limitado ou eventual; dados não sensíveis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Consultoria pontual, ferramentas internas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Cláusulas contratuais básicas, NDA</w:t>
            </w:r>
          </w:p>
        </w:tc>
      </w:tr>
    </w:tbl>
    <w:bookmarkEnd w:id="25"/>
    <w:bookmarkStart w:id="26" w:name="fatores-de-avaliação"/>
    <w:p>
      <w:pPr>
        <w:pStyle w:val="Ttulo3"/>
      </w:pPr>
      <w:r>
        <w:t xml:space="preserve">3.2 Fatores de Avaliação</w:t>
      </w:r>
    </w:p>
    <w:p>
      <w:pPr>
        <w:numPr>
          <w:ilvl w:val="0"/>
          <w:numId w:val="1002"/>
        </w:numPr>
        <w:pStyle w:val="Compact"/>
      </w:pPr>
      <w:r>
        <w:t xml:space="preserve">Tipo e volume de dados acessados</w:t>
      </w:r>
    </w:p>
    <w:p>
      <w:pPr>
        <w:numPr>
          <w:ilvl w:val="0"/>
          <w:numId w:val="1002"/>
        </w:numPr>
        <w:pStyle w:val="Compact"/>
      </w:pPr>
      <w:r>
        <w:t xml:space="preserve">Criticidade do serviço prestado</w:t>
      </w:r>
    </w:p>
    <w:p>
      <w:pPr>
        <w:numPr>
          <w:ilvl w:val="0"/>
          <w:numId w:val="1002"/>
        </w:numPr>
        <w:pStyle w:val="Compact"/>
      </w:pPr>
      <w:r>
        <w:t xml:space="preserve">Localização (Brasil/exterior)</w:t>
      </w:r>
    </w:p>
    <w:p>
      <w:pPr>
        <w:numPr>
          <w:ilvl w:val="0"/>
          <w:numId w:val="1002"/>
        </w:numPr>
        <w:pStyle w:val="Compact"/>
      </w:pPr>
      <w:r>
        <w:t xml:space="preserve">Histórico de incidentes</w:t>
      </w:r>
    </w:p>
    <w:p>
      <w:pPr>
        <w:numPr>
          <w:ilvl w:val="0"/>
          <w:numId w:val="1002"/>
        </w:numPr>
        <w:pStyle w:val="Compact"/>
      </w:pPr>
      <w:r>
        <w:t xml:space="preserve">Certificações de segurança</w:t>
      </w:r>
    </w:p>
    <w:p>
      <w:pPr>
        <w:numPr>
          <w:ilvl w:val="0"/>
          <w:numId w:val="1002"/>
        </w:numPr>
        <w:pStyle w:val="Compact"/>
      </w:pPr>
      <w:r>
        <w:t xml:space="preserve">Capacidade de resposta a incidentes</w:t>
      </w:r>
    </w:p>
    <w:p>
      <w:r>
        <w:pict>
          <v:rect style="width:0;height:1.5pt" o:hralign="center" o:hrstd="t" o:hr="t"/>
        </w:pict>
      </w:r>
    </w:p>
    <w:bookmarkEnd w:id="26"/>
    <w:bookmarkEnd w:id="27"/>
    <w:bookmarkStart w:id="30" w:name="requisitos-mínimos-de-conformidade"/>
    <w:p>
      <w:pPr>
        <w:pStyle w:val="Ttulo2"/>
      </w:pPr>
      <w:r>
        <w:t xml:space="preserve">4. Requisitos Mínimos de Conformidade</w:t>
      </w:r>
    </w:p>
    <w:bookmarkStart w:id="28" w:name="requisitos-para-todos-os-terceiros"/>
    <w:p>
      <w:pPr>
        <w:pStyle w:val="Ttulo3"/>
      </w:pPr>
      <w:r>
        <w:t xml:space="preserve">4.1 Requisitos para Todos os Terceiros</w:t>
      </w:r>
    </w:p>
    <w:p>
      <w:pPr>
        <w:numPr>
          <w:ilvl w:val="0"/>
          <w:numId w:val="1003"/>
        </w:numPr>
        <w:pStyle w:val="Compact"/>
      </w:pPr>
      <w:r>
        <w:t xml:space="preserve">Compromisso formal com proteção de dados</w:t>
      </w:r>
    </w:p>
    <w:p>
      <w:pPr>
        <w:numPr>
          <w:ilvl w:val="0"/>
          <w:numId w:val="1003"/>
        </w:numPr>
        <w:pStyle w:val="Compact"/>
      </w:pPr>
      <w:r>
        <w:t xml:space="preserve">Confidencialidade (NDA ou cláusula equivalente)</w:t>
      </w:r>
    </w:p>
    <w:p>
      <w:pPr>
        <w:numPr>
          <w:ilvl w:val="0"/>
          <w:numId w:val="1003"/>
        </w:numPr>
        <w:pStyle w:val="Compact"/>
      </w:pPr>
      <w:r>
        <w:t xml:space="preserve">Notificação de incidentes</w:t>
      </w:r>
    </w:p>
    <w:p>
      <w:pPr>
        <w:numPr>
          <w:ilvl w:val="0"/>
          <w:numId w:val="1003"/>
        </w:numPr>
        <w:pStyle w:val="Compact"/>
      </w:pPr>
      <w:r>
        <w:t xml:space="preserve">Devolução/eliminação de dados ao término</w:t>
      </w:r>
    </w:p>
    <w:bookmarkEnd w:id="28"/>
    <w:bookmarkStart w:id="29" w:name="requisitos-adicionais-por-nível-de-risco"/>
    <w:p>
      <w:pPr>
        <w:pStyle w:val="Ttulo3"/>
      </w:pPr>
      <w:r>
        <w:t xml:space="preserve">4.2 Requisitos Adicionais por Nível de Risco</w:t>
      </w:r>
    </w:p>
    <w:tbl>
      <w:tblPr>
        <w:tblStyle w:val="Table"/>
        <w:tblW w:type="pct" w:w="5000"/>
        <w:tblLook w:firstRow="1" w:lastRow="0" w:firstColumn="0" w:lastColumn="0" w:noHBand="0" w:noVBand="0" w:val="0020"/>
        <w:jc w:val="start"/>
      </w:tblPr>
      <w:tblGrid>
        <w:gridCol w:w="2810"/>
        <w:gridCol w:w="1532"/>
        <w:gridCol w:w="1788"/>
        <w:gridCol w:w="1788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Requisito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Alto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Médio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Baixo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DPA completo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Obrigatório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Obrigatório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Cláusulas básicas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Política de Segurança documentada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Obrigatório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Obrigatório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Recomendado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Certificação ISO 27001 ou equivalente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Obrigatório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Recomendado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Não exigido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Pentest/avaliação de vulnerabilidades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Anual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Bienal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Não exigido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Plano de Resposta a Incidentes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Obrigatório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Obrigatório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Não exigido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Suboperadores documentados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Obrigatório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Obrigatório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Não exigido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Auditoria pelo contratante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Permitida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Permitida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Não usual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Criptografia de dados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Obrigatório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Obrigatório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Quando aplicável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Backup e recuperação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Documentado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Documentado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Não exigido</w:t>
            </w:r>
          </w:p>
        </w:tc>
      </w:tr>
    </w:tbl>
    <w:p>
      <w:r>
        <w:pict>
          <v:rect style="width:0;height:1.5pt" o:hralign="center" o:hrstd="t" o:hr="t"/>
        </w:pict>
      </w:r>
    </w:p>
    <w:bookmarkEnd w:id="29"/>
    <w:bookmarkEnd w:id="30"/>
    <w:bookmarkStart w:id="33" w:name="processo-de-homologação-due-diligence"/>
    <w:p>
      <w:pPr>
        <w:pStyle w:val="Ttulo2"/>
      </w:pPr>
      <w:r>
        <w:t xml:space="preserve">5. Processo de Homologação (Due Diligence)</w:t>
      </w:r>
    </w:p>
    <w:bookmarkStart w:id="31" w:name="fluxo-de-homologação"/>
    <w:p>
      <w:pPr>
        <w:pStyle w:val="Ttulo3"/>
      </w:pPr>
      <w:r>
        <w:t xml:space="preserve">5.1 Fluxo de Homologação</w:t>
      </w:r>
    </w:p>
    <w:p>
      <w:pPr>
        <w:pStyle w:val="SourceCode"/>
      </w:pPr>
      <w:r>
        <w:rPr>
          <w:rStyle w:val="VerbatimChar"/>
        </w:rPr>
        <w:t xml:space="preserve">┌─────────────┐    ┌─────────────┐    ┌─────────────┐    ┌─────────────┐    ┌─────────────┐</w:t>
      </w:r>
      <w:r>
        <w:br/>
      </w:r>
      <w:r>
        <w:rPr>
          <w:rStyle w:val="VerbatimChar"/>
        </w:rPr>
        <w:t xml:space="preserve">│ SOLICITAÇÃO │ → │ AVALIAÇÃO   │ → │    DUE      │ → │  APROVAÇÃO  │ → │ CONTRATAÇÃO │</w:t>
      </w:r>
      <w:r>
        <w:br/>
      </w:r>
      <w:r>
        <w:rPr>
          <w:rStyle w:val="VerbatimChar"/>
        </w:rPr>
        <w:t xml:space="preserve">│  DA ÁREA    │    │  DE RISCO   │    │ DILIGENCE   │    │             │    │             │</w:t>
      </w:r>
      <w:r>
        <w:br/>
      </w:r>
      <w:r>
        <w:rPr>
          <w:rStyle w:val="VerbatimChar"/>
        </w:rPr>
        <w:t xml:space="preserve">└─────────────┘    └─────────────┘    └─────────────┘    └─────────────┘    └─────────────┘</w:t>
      </w:r>
    </w:p>
    <w:bookmarkEnd w:id="31"/>
    <w:bookmarkStart w:id="32" w:name="etapas-do-processo"/>
    <w:p>
      <w:pPr>
        <w:pStyle w:val="Ttulo3"/>
      </w:pPr>
      <w:r>
        <w:t xml:space="preserve">5.2 Etapas do Processo</w:t>
      </w:r>
    </w:p>
    <w:tbl>
      <w:tblPr>
        <w:tblStyle w:val="Table"/>
        <w:tblW w:type="pct" w:w="5000"/>
        <w:tblLook w:firstRow="1" w:lastRow="0" w:firstColumn="0" w:lastColumn="0" w:noHBand="0" w:noVBand="0" w:val="0020"/>
        <w:jc w:val="start"/>
      </w:tblPr>
      <w:tblGrid>
        <w:gridCol w:w="1421"/>
        <w:gridCol w:w="2640"/>
        <w:gridCol w:w="2436"/>
        <w:gridCol w:w="1421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Etapa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Responsável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Atividades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Prazo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1. Solicitação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Área requisitante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Preencher formulário de novo terceiro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-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2. Triagem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Compras/DPO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Classificar risco, definir requisitos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 dias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3. Questionário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Terceiro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Responder questionário de segurança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10 dias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4. Análise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DPO + Segurança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Avaliar respostas, identificar gaps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5 dias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5. Validação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DPO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Aprovar ou solicitar correções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3 dias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6. Contrato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Jurídico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Elaborar/revisar DPA e contrato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5 dias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7. Registro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DPO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Incluir no inventário de terceiros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 dia</w:t>
            </w:r>
          </w:p>
        </w:tc>
      </w:tr>
    </w:tbl>
    <w:p>
      <w:r>
        <w:pict>
          <v:rect style="width:0;height:1.5pt" o:hralign="center" o:hrstd="t" o:hr="t"/>
        </w:pict>
      </w:r>
    </w:p>
    <w:bookmarkEnd w:id="32"/>
    <w:bookmarkEnd w:id="33"/>
    <w:bookmarkStart w:id="38" w:name="checklist-de-avaliação"/>
    <w:p>
      <w:pPr>
        <w:pStyle w:val="Ttulo2"/>
      </w:pPr>
      <w:r>
        <w:t xml:space="preserve">6. Checklist de Avaliação</w:t>
      </w:r>
    </w:p>
    <w:bookmarkStart w:id="34" w:name="aspectos-organizacionais"/>
    <w:p>
      <w:pPr>
        <w:pStyle w:val="Ttulo3"/>
      </w:pPr>
      <w:r>
        <w:t xml:space="preserve">6.1 Aspectos Organizacionais</w:t>
      </w:r>
    </w:p>
    <w:p>
      <w:pPr>
        <w:numPr>
          <w:ilvl w:val="0"/>
          <w:numId w:val="1004"/>
        </w:numPr>
        <w:pStyle w:val="Compact"/>
      </w:pPr>
      <w:r>
        <w:t xml:space="preserve">☐ Razão social, CNPJ e contatos verificados</w:t>
      </w:r>
    </w:p>
    <w:p>
      <w:pPr>
        <w:numPr>
          <w:ilvl w:val="0"/>
          <w:numId w:val="1004"/>
        </w:numPr>
        <w:pStyle w:val="Compact"/>
      </w:pPr>
      <w:r>
        <w:t xml:space="preserve">☐ Política de privacidade pública disponível</w:t>
      </w:r>
    </w:p>
    <w:p>
      <w:pPr>
        <w:numPr>
          <w:ilvl w:val="0"/>
          <w:numId w:val="1004"/>
        </w:numPr>
        <w:pStyle w:val="Compact"/>
      </w:pPr>
      <w:r>
        <w:t xml:space="preserve">☐ DPO/responsável por privacidade designado</w:t>
      </w:r>
    </w:p>
    <w:p>
      <w:pPr>
        <w:numPr>
          <w:ilvl w:val="0"/>
          <w:numId w:val="1004"/>
        </w:numPr>
        <w:pStyle w:val="Compact"/>
      </w:pPr>
      <w:r>
        <w:t xml:space="preserve">☐ Treinamento de colaboradores em LGPD</w:t>
      </w:r>
    </w:p>
    <w:p>
      <w:pPr>
        <w:numPr>
          <w:ilvl w:val="0"/>
          <w:numId w:val="1004"/>
        </w:numPr>
        <w:pStyle w:val="Compact"/>
      </w:pPr>
      <w:r>
        <w:t xml:space="preserve">☐ Histórico de incidentes nos últimos 3 anos</w:t>
      </w:r>
    </w:p>
    <w:bookmarkEnd w:id="34"/>
    <w:bookmarkStart w:id="35" w:name="aspectos-técnicos"/>
    <w:p>
      <w:pPr>
        <w:pStyle w:val="Ttulo3"/>
      </w:pPr>
      <w:r>
        <w:t xml:space="preserve">6.2 Aspectos Técnicos</w:t>
      </w:r>
    </w:p>
    <w:p>
      <w:pPr>
        <w:numPr>
          <w:ilvl w:val="0"/>
          <w:numId w:val="1005"/>
        </w:numPr>
        <w:pStyle w:val="Compact"/>
      </w:pPr>
      <w:r>
        <w:t xml:space="preserve">☐ Controle de acesso implementado</w:t>
      </w:r>
    </w:p>
    <w:p>
      <w:pPr>
        <w:numPr>
          <w:ilvl w:val="0"/>
          <w:numId w:val="1005"/>
        </w:numPr>
        <w:pStyle w:val="Compact"/>
      </w:pPr>
      <w:r>
        <w:t xml:space="preserve">☐ Criptografia em trânsito e repouso</w:t>
      </w:r>
    </w:p>
    <w:p>
      <w:pPr>
        <w:numPr>
          <w:ilvl w:val="0"/>
          <w:numId w:val="1005"/>
        </w:numPr>
        <w:pStyle w:val="Compact"/>
      </w:pPr>
      <w:r>
        <w:t xml:space="preserve">☐ Logs de acesso a dados pessoais</w:t>
      </w:r>
    </w:p>
    <w:p>
      <w:pPr>
        <w:numPr>
          <w:ilvl w:val="0"/>
          <w:numId w:val="1005"/>
        </w:numPr>
        <w:pStyle w:val="Compact"/>
      </w:pPr>
      <w:r>
        <w:t xml:space="preserve">☐ Backup e plano de recuperação</w:t>
      </w:r>
    </w:p>
    <w:p>
      <w:pPr>
        <w:numPr>
          <w:ilvl w:val="0"/>
          <w:numId w:val="1005"/>
        </w:numPr>
        <w:pStyle w:val="Compact"/>
      </w:pPr>
      <w:r>
        <w:t xml:space="preserve">☐ Gestão de vulnerabilidades</w:t>
      </w:r>
    </w:p>
    <w:p>
      <w:pPr>
        <w:numPr>
          <w:ilvl w:val="0"/>
          <w:numId w:val="1005"/>
        </w:numPr>
        <w:pStyle w:val="Compact"/>
      </w:pPr>
      <w:r>
        <w:t xml:space="preserve">☐ Testes de segurança periódicos</w:t>
      </w:r>
    </w:p>
    <w:bookmarkEnd w:id="35"/>
    <w:bookmarkStart w:id="36" w:name="aspectos-contratuais"/>
    <w:p>
      <w:pPr>
        <w:pStyle w:val="Ttulo3"/>
      </w:pPr>
      <w:r>
        <w:t xml:space="preserve">6.3 Aspectos Contratuais</w:t>
      </w:r>
    </w:p>
    <w:p>
      <w:pPr>
        <w:numPr>
          <w:ilvl w:val="0"/>
          <w:numId w:val="1006"/>
        </w:numPr>
        <w:pStyle w:val="Compact"/>
      </w:pPr>
      <w:r>
        <w:t xml:space="preserve">☐ Aceita termos de DPA</w:t>
      </w:r>
    </w:p>
    <w:p>
      <w:pPr>
        <w:numPr>
          <w:ilvl w:val="0"/>
          <w:numId w:val="1006"/>
        </w:numPr>
        <w:pStyle w:val="Compact"/>
      </w:pPr>
      <w:r>
        <w:t xml:space="preserve">☐ Lista de suboperadores disponível</w:t>
      </w:r>
    </w:p>
    <w:p>
      <w:pPr>
        <w:numPr>
          <w:ilvl w:val="0"/>
          <w:numId w:val="1006"/>
        </w:numPr>
        <w:pStyle w:val="Compact"/>
      </w:pPr>
      <w:r>
        <w:t xml:space="preserve">☐ Processo de notificação de incidentes</w:t>
      </w:r>
    </w:p>
    <w:p>
      <w:pPr>
        <w:numPr>
          <w:ilvl w:val="0"/>
          <w:numId w:val="1006"/>
        </w:numPr>
        <w:pStyle w:val="Compact"/>
      </w:pPr>
      <w:r>
        <w:t xml:space="preserve">☐ Compromisso de devolução/eliminação</w:t>
      </w:r>
    </w:p>
    <w:p>
      <w:pPr>
        <w:numPr>
          <w:ilvl w:val="0"/>
          <w:numId w:val="1006"/>
        </w:numPr>
        <w:pStyle w:val="Compact"/>
      </w:pPr>
      <w:r>
        <w:t xml:space="preserve">☐ Permissão para auditoria (se alto risco)</w:t>
      </w:r>
    </w:p>
    <w:bookmarkEnd w:id="36"/>
    <w:bookmarkStart w:id="37" w:name="localização-de-dados"/>
    <w:p>
      <w:pPr>
        <w:pStyle w:val="Ttulo3"/>
      </w:pPr>
      <w:r>
        <w:t xml:space="preserve">6.4 Localização de Dados</w:t>
      </w:r>
    </w:p>
    <w:p>
      <w:pPr>
        <w:numPr>
          <w:ilvl w:val="0"/>
          <w:numId w:val="1007"/>
        </w:numPr>
        <w:pStyle w:val="Compact"/>
      </w:pPr>
      <w:r>
        <w:t xml:space="preserve">☐ Dados processados no Brasil</w:t>
      </w:r>
    </w:p>
    <w:p>
      <w:pPr>
        <w:numPr>
          <w:ilvl w:val="0"/>
          <w:numId w:val="1007"/>
        </w:numPr>
        <w:pStyle w:val="Compact"/>
      </w:pPr>
      <w:r>
        <w:t xml:space="preserve">☐ Se exterior: país com legislação adequada ou cláusulas padrão</w:t>
      </w:r>
    </w:p>
    <w:p>
      <w:pPr>
        <w:numPr>
          <w:ilvl w:val="0"/>
          <w:numId w:val="1007"/>
        </w:numPr>
        <w:pStyle w:val="Compact"/>
      </w:pPr>
      <w:r>
        <w:t xml:space="preserve">☐ Transparência sobre localização de datacenters</w:t>
      </w:r>
    </w:p>
    <w:p>
      <w:r>
        <w:pict>
          <v:rect style="width:0;height:1.5pt" o:hralign="center" o:hrstd="t" o:hr="t"/>
        </w:pict>
      </w:r>
    </w:p>
    <w:bookmarkEnd w:id="37"/>
    <w:bookmarkEnd w:id="38"/>
    <w:bookmarkStart w:id="41" w:name="requisitos-contratuais-dpa"/>
    <w:p>
      <w:pPr>
        <w:pStyle w:val="Ttulo2"/>
      </w:pPr>
      <w:r>
        <w:t xml:space="preserve">7. Requisitos Contratuais (DPA)</w:t>
      </w:r>
    </w:p>
    <w:bookmarkStart w:id="39" w:name="cláusulas-obrigatórias"/>
    <w:p>
      <w:pPr>
        <w:pStyle w:val="Ttulo3"/>
      </w:pPr>
      <w:r>
        <w:t xml:space="preserve">7.1 Cláusulas Obrigatórias</w:t>
      </w:r>
    </w:p>
    <w:p>
      <w:pPr>
        <w:pStyle w:val="FirstParagraph"/>
      </w:pPr>
      <w:r>
        <w:t xml:space="preserve">O Data Processing Agreement (DPA) deve conter:</w:t>
      </w:r>
    </w:p>
    <w:tbl>
      <w:tblPr>
        <w:tblStyle w:val="Table"/>
        <w:tblW w:type="pct" w:w="5000"/>
        <w:tblLook w:firstRow="1" w:lastRow="0" w:firstColumn="0" w:lastColumn="0" w:noHBand="0" w:noVBand="0" w:val="0020"/>
        <w:jc w:val="start"/>
      </w:tblPr>
      <w:tblGrid>
        <w:gridCol w:w="3771"/>
        <w:gridCol w:w="4148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Cláusula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Descrição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Objeto e duração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Escopo do tratamento e prazo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Natureza e finalidade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Tipo de tratamento e propósito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Tipos de dados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Categorias de dados tratados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Categorias de titulares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Quem são os titulares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Obrigações do operador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Instruções, segurança, confidencialidade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Suboperadores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Autorização prévia, lista, responsabilidade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Transferência internacional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Salvaguardas aplicáveis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Direitos dos titulares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Apoio ao atendimento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Notificação de incidentes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Prazo e conteúdo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Auditoria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Direito de inspeção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Término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Devolução ou eliminação de dados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Responsabilidade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Limitações e indenizações</w:t>
            </w:r>
          </w:p>
        </w:tc>
      </w:tr>
    </w:tbl>
    <w:bookmarkEnd w:id="39"/>
    <w:bookmarkStart w:id="40" w:name="modelo-de-dpa"/>
    <w:p>
      <w:pPr>
        <w:pStyle w:val="Ttulo3"/>
      </w:pPr>
      <w:r>
        <w:t xml:space="preserve">7.2 Modelo de DPA</w:t>
      </w:r>
    </w:p>
    <w:p>
      <w:pPr>
        <w:pStyle w:val="FirstParagraph"/>
      </w:pPr>
      <w:r>
        <w:t xml:space="preserve">Utilizar modelo padrão disponível em: [PREENCHER_LOCAL_MODELO]</w:t>
      </w:r>
    </w:p>
    <w:p>
      <w:r>
        <w:pict>
          <v:rect style="width:0;height:1.5pt" o:hralign="center" o:hrstd="t" o:hr="t"/>
        </w:pict>
      </w:r>
    </w:p>
    <w:bookmarkEnd w:id="40"/>
    <w:bookmarkEnd w:id="41"/>
    <w:bookmarkStart w:id="44" w:name="monitoramento-contínuo"/>
    <w:p>
      <w:pPr>
        <w:pStyle w:val="Ttulo2"/>
      </w:pPr>
      <w:r>
        <w:t xml:space="preserve">8. Monitoramento Contínuo</w:t>
      </w:r>
    </w:p>
    <w:bookmarkStart w:id="42" w:name="atividades-de-monitoramento"/>
    <w:p>
      <w:pPr>
        <w:pStyle w:val="Ttulo3"/>
      </w:pPr>
      <w:r>
        <w:t xml:space="preserve">8.1 Atividades de Monitoramento</w:t>
      </w:r>
    </w:p>
    <w:tbl>
      <w:tblPr>
        <w:tblStyle w:val="Table"/>
        <w:tblW w:type="pct" w:w="5000"/>
        <w:tblLook w:firstRow="1" w:lastRow="0" w:firstColumn="0" w:lastColumn="0" w:noHBand="0" w:noVBand="0" w:val="0020"/>
        <w:jc w:val="start"/>
      </w:tblPr>
      <w:tblGrid>
        <w:gridCol w:w="1777"/>
        <w:gridCol w:w="1939"/>
        <w:gridCol w:w="2101"/>
        <w:gridCol w:w="2101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Atividade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Risco Alto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Risco Médio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Risco Baixo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Revisão de conformidade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Anual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Bienal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Sob demanda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Atualização de questionário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Anual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Bienal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Na renovação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Verificação de certificações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Anual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Bienal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Não aplicável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Análise de incidentes reportados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Contínuo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Contínuo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Contínuo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Auditoria presencial/remota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Conforme risco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Conforme risco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Não usual</w:t>
            </w:r>
          </w:p>
        </w:tc>
      </w:tr>
    </w:tbl>
    <w:bookmarkEnd w:id="42"/>
    <w:bookmarkStart w:id="43" w:name="indicadores-de-alerta"/>
    <w:p>
      <w:pPr>
        <w:pStyle w:val="Ttulo3"/>
      </w:pPr>
      <w:r>
        <w:t xml:space="preserve">8.2 Indicadores de Alerta</w:t>
      </w:r>
    </w:p>
    <w:p>
      <w:pPr>
        <w:pStyle w:val="FirstParagraph"/>
      </w:pPr>
      <w:r>
        <w:t xml:space="preserve">Situações que exigem reavaliação imediata:</w:t>
      </w:r>
      <w:r>
        <w:t xml:space="preserve"> </w:t>
      </w:r>
      <w:r>
        <w:t xml:space="preserve">- Incidente de segurança notificado</w:t>
      </w:r>
      <w:r>
        <w:t xml:space="preserve"> </w:t>
      </w:r>
      <w:r>
        <w:t xml:space="preserve">- Mudança significativa no serviço prestado</w:t>
      </w:r>
      <w:r>
        <w:t xml:space="preserve"> </w:t>
      </w:r>
      <w:r>
        <w:t xml:space="preserve">- Alteração na estrutura societária</w:t>
      </w:r>
      <w:r>
        <w:t xml:space="preserve"> </w:t>
      </w:r>
      <w:r>
        <w:t xml:space="preserve">- Perda de certificação</w:t>
      </w:r>
      <w:r>
        <w:t xml:space="preserve"> </w:t>
      </w:r>
      <w:r>
        <w:t xml:space="preserve">- Reclamações de titulares</w:t>
      </w:r>
      <w:r>
        <w:t xml:space="preserve"> </w:t>
      </w:r>
      <w:r>
        <w:t xml:space="preserve">- Mudança na localização de processamento</w:t>
      </w:r>
    </w:p>
    <w:p>
      <w:r>
        <w:pict>
          <v:rect style="width:0;height:1.5pt" o:hralign="center" o:hrstd="t" o:hr="t"/>
        </w:pict>
      </w:r>
    </w:p>
    <w:bookmarkEnd w:id="43"/>
    <w:bookmarkEnd w:id="44"/>
    <w:bookmarkStart w:id="47" w:name="reavaliação-periódica"/>
    <w:p>
      <w:pPr>
        <w:pStyle w:val="Ttulo2"/>
      </w:pPr>
      <w:r>
        <w:t xml:space="preserve">9. Reavaliação Periódica</w:t>
      </w:r>
    </w:p>
    <w:bookmarkStart w:id="45" w:name="gatilhos-para-reavaliação"/>
    <w:p>
      <w:pPr>
        <w:pStyle w:val="Ttulo3"/>
      </w:pPr>
      <w:r>
        <w:t xml:space="preserve">9.1 Gatilhos para Reavaliação</w:t>
      </w:r>
    </w:p>
    <w:tbl>
      <w:tblPr>
        <w:tblStyle w:val="Table"/>
        <w:tblW w:type="auto" w:w="0"/>
        <w:tblLook w:firstRow="1" w:lastRow="0" w:firstColumn="0" w:lastColumn="0" w:noHBand="0" w:noVBand="0" w:val="0020"/>
        <w:jc w:val="start"/>
      </w:tblPr>
      <w:tblGrid>
        <w:gridCol w:w="3960"/>
        <w:gridCol w:w="396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Gatilho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Ação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Renovação contratual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Reavaliação completa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Mudança de escopo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Reclassificação de risco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Incidente de segurança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Investigação e reavaliação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Alteração regulatória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Verificar adequação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Solicitação do controlador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Reavaliação do suboperador</w:t>
            </w:r>
          </w:p>
        </w:tc>
      </w:tr>
    </w:tbl>
    <w:bookmarkEnd w:id="45"/>
    <w:bookmarkStart w:id="46" w:name="documentação"/>
    <w:p>
      <w:pPr>
        <w:pStyle w:val="Ttulo3"/>
      </w:pPr>
      <w:r>
        <w:t xml:space="preserve">9.2 Documentação</w:t>
      </w:r>
    </w:p>
    <w:p>
      <w:pPr>
        <w:pStyle w:val="FirstParagraph"/>
      </w:pPr>
      <w:r>
        <w:t xml:space="preserve">Manter registro de:</w:t>
      </w:r>
      <w:r>
        <w:t xml:space="preserve"> </w:t>
      </w:r>
      <w:r>
        <w:t xml:space="preserve">- Data da avaliação/reavaliação</w:t>
      </w:r>
      <w:r>
        <w:t xml:space="preserve"> </w:t>
      </w:r>
      <w:r>
        <w:t xml:space="preserve">- Documentos analisados</w:t>
      </w:r>
      <w:r>
        <w:t xml:space="preserve"> </w:t>
      </w:r>
      <w:r>
        <w:t xml:space="preserve">- Gaps identificados</w:t>
      </w:r>
      <w:r>
        <w:t xml:space="preserve"> </w:t>
      </w:r>
      <w:r>
        <w:t xml:space="preserve">- Decisão (aprovado/reprovado/pendências)</w:t>
      </w:r>
      <w:r>
        <w:t xml:space="preserve"> </w:t>
      </w:r>
      <w:r>
        <w:t xml:space="preserve">- Responsável pela análise</w:t>
      </w:r>
    </w:p>
    <w:p>
      <w:r>
        <w:pict>
          <v:rect style="width:0;height:1.5pt" o:hralign="center" o:hrstd="t" o:hr="t"/>
        </w:pict>
      </w:r>
    </w:p>
    <w:bookmarkEnd w:id="46"/>
    <w:bookmarkEnd w:id="47"/>
    <w:bookmarkStart w:id="50" w:name="término-de-relacionamento"/>
    <w:p>
      <w:pPr>
        <w:pStyle w:val="Ttulo2"/>
      </w:pPr>
      <w:r>
        <w:t xml:space="preserve">10. Término de Relacionamento</w:t>
      </w:r>
    </w:p>
    <w:bookmarkStart w:id="48" w:name="procedimentos-de-encerramento"/>
    <w:p>
      <w:pPr>
        <w:pStyle w:val="Ttulo3"/>
      </w:pPr>
      <w:r>
        <w:t xml:space="preserve">10.1 Procedimentos de Encerramento</w:t>
      </w:r>
    </w:p>
    <w:tbl>
      <w:tblPr>
        <w:tblStyle w:val="Table"/>
        <w:tblW w:type="pct" w:w="5000"/>
        <w:tblLook w:firstRow="1" w:lastRow="0" w:firstColumn="0" w:lastColumn="0" w:noHBand="0" w:noVBand="0" w:val="0020"/>
        <w:jc w:val="start"/>
      </w:tblPr>
      <w:tblGrid>
        <w:gridCol w:w="2053"/>
        <w:gridCol w:w="3813"/>
        <w:gridCol w:w="2053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Etapa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Responsável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Prazo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Notificar término formalmente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Área contratante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Conforme contrato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Solicitar devolução/eliminação de dados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DPO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Antes do encerramento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Verificar cumprimento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DPO + TI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Até 30 dias após término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Obter certificado de eliminação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DPO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Até 30 dias após término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Revogar acessos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TI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Imediato ao término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Atualizar inventário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DPO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Até 5 dias</w:t>
            </w:r>
          </w:p>
        </w:tc>
      </w:tr>
    </w:tbl>
    <w:bookmarkEnd w:id="48"/>
    <w:bookmarkStart w:id="49" w:name="certificado-de-eliminação"/>
    <w:p>
      <w:pPr>
        <w:pStyle w:val="Ttulo3"/>
      </w:pPr>
      <w:r>
        <w:t xml:space="preserve">10.2 Certificado de Eliminação</w:t>
      </w:r>
    </w:p>
    <w:p>
      <w:pPr>
        <w:pStyle w:val="FirstParagraph"/>
      </w:pPr>
      <w:r>
        <w:t xml:space="preserve">Solicitar ao terceiro documento contendo:</w:t>
      </w:r>
      <w:r>
        <w:t xml:space="preserve"> </w:t>
      </w:r>
      <w:r>
        <w:t xml:space="preserve">- Confirmação de eliminação de todos os dados</w:t>
      </w:r>
      <w:r>
        <w:t xml:space="preserve"> </w:t>
      </w:r>
      <w:r>
        <w:t xml:space="preserve">- Método utilizado</w:t>
      </w:r>
      <w:r>
        <w:t xml:space="preserve"> </w:t>
      </w:r>
      <w:r>
        <w:t xml:space="preserve">- Data da eliminação</w:t>
      </w:r>
      <w:r>
        <w:t xml:space="preserve"> </w:t>
      </w:r>
      <w:r>
        <w:t xml:space="preserve">- Declaração sobre backups</w:t>
      </w:r>
      <w:r>
        <w:t xml:space="preserve"> </w:t>
      </w:r>
      <w:r>
        <w:t xml:space="preserve">- Assinatura de responsável</w:t>
      </w:r>
    </w:p>
    <w:p>
      <w:r>
        <w:pict>
          <v:rect style="width:0;height:1.5pt" o:hralign="center" o:hrstd="t" o:hr="t"/>
        </w:pict>
      </w:r>
    </w:p>
    <w:bookmarkEnd w:id="49"/>
    <w:bookmarkEnd w:id="50"/>
    <w:bookmarkStart w:id="53" w:name="inventário-de-terceiros"/>
    <w:p>
      <w:pPr>
        <w:pStyle w:val="Ttulo2"/>
      </w:pPr>
      <w:r>
        <w:t xml:space="preserve">11. Inventário de Terceiros</w:t>
      </w:r>
    </w:p>
    <w:bookmarkStart w:id="51" w:name="informações-a-registrar"/>
    <w:p>
      <w:pPr>
        <w:pStyle w:val="Ttulo3"/>
      </w:pPr>
      <w:r>
        <w:t xml:space="preserve">11.1 Informações a Registrar</w:t>
      </w:r>
    </w:p>
    <w:p>
      <w:pPr>
        <w:pStyle w:val="FirstParagraph"/>
      </w:pPr>
      <w:r>
        <w:t xml:space="preserve">Para cada terceiro com acesso a dados pessoais:</w:t>
      </w:r>
      <w:r>
        <w:t xml:space="preserve"> </w:t>
      </w:r>
      <w:r>
        <w:t xml:space="preserve">- Razão social e CNPJ</w:t>
      </w:r>
      <w:r>
        <w:t xml:space="preserve"> </w:t>
      </w:r>
      <w:r>
        <w:t xml:space="preserve">- Tipo de serviço prestado</w:t>
      </w:r>
      <w:r>
        <w:t xml:space="preserve"> </w:t>
      </w:r>
      <w:r>
        <w:t xml:space="preserve">- Classificação de risco</w:t>
      </w:r>
      <w:r>
        <w:t xml:space="preserve"> </w:t>
      </w:r>
      <w:r>
        <w:t xml:space="preserve">- Categorias de dados acessados</w:t>
      </w:r>
      <w:r>
        <w:t xml:space="preserve"> </w:t>
      </w:r>
      <w:r>
        <w:t xml:space="preserve">- Localização do processamento</w:t>
      </w:r>
      <w:r>
        <w:t xml:space="preserve"> </w:t>
      </w:r>
      <w:r>
        <w:t xml:space="preserve">- Data de homologação</w:t>
      </w:r>
      <w:r>
        <w:t xml:space="preserve"> </w:t>
      </w:r>
      <w:r>
        <w:t xml:space="preserve">- Data da última reavaliação</w:t>
      </w:r>
      <w:r>
        <w:t xml:space="preserve"> </w:t>
      </w:r>
      <w:r>
        <w:t xml:space="preserve">- Status (ativo/inativo)</w:t>
      </w:r>
      <w:r>
        <w:t xml:space="preserve"> </w:t>
      </w:r>
      <w:r>
        <w:t xml:space="preserve">- Contato do responsável</w:t>
      </w:r>
    </w:p>
    <w:bookmarkEnd w:id="51"/>
    <w:bookmarkStart w:id="52" w:name="manutenção"/>
    <w:p>
      <w:pPr>
        <w:pStyle w:val="Ttulo3"/>
      </w:pPr>
      <w:r>
        <w:t xml:space="preserve">11.2 Manutenção</w:t>
      </w:r>
    </w:p>
    <w:p>
      <w:pPr>
        <w:numPr>
          <w:ilvl w:val="0"/>
          <w:numId w:val="1008"/>
        </w:numPr>
        <w:pStyle w:val="Compact"/>
      </w:pPr>
      <w:r>
        <w:t xml:space="preserve">Inventário atualizado pelo DPO</w:t>
      </w:r>
    </w:p>
    <w:p>
      <w:pPr>
        <w:numPr>
          <w:ilvl w:val="0"/>
          <w:numId w:val="1008"/>
        </w:numPr>
        <w:pStyle w:val="Compact"/>
      </w:pPr>
      <w:r>
        <w:t xml:space="preserve">Revisão trimestral do inventário</w:t>
      </w:r>
    </w:p>
    <w:p>
      <w:pPr>
        <w:numPr>
          <w:ilvl w:val="0"/>
          <w:numId w:val="1008"/>
        </w:numPr>
        <w:pStyle w:val="Compact"/>
      </w:pPr>
      <w:r>
        <w:t xml:space="preserve">Disponível para consulta dos controladores</w:t>
      </w:r>
    </w:p>
    <w:p>
      <w:r>
        <w:pict>
          <v:rect style="width:0;height:1.5pt" o:hralign="center" o:hrstd="t" o:hr="t"/>
        </w:pict>
      </w:r>
    </w:p>
    <w:bookmarkEnd w:id="52"/>
    <w:bookmarkEnd w:id="53"/>
    <w:bookmarkStart w:id="54" w:name="responsabilidades"/>
    <w:p>
      <w:pPr>
        <w:pStyle w:val="Ttulo2"/>
      </w:pPr>
      <w:r>
        <w:t xml:space="preserve">12. Responsabilidades</w:t>
      </w:r>
    </w:p>
    <w:tbl>
      <w:tblPr>
        <w:tblStyle w:val="Table"/>
        <w:tblW w:type="pct" w:w="5000"/>
        <w:tblLook w:firstRow="1" w:lastRow="0" w:firstColumn="0" w:lastColumn="0" w:noHBand="0" w:noVBand="0" w:val="0020"/>
        <w:jc w:val="start"/>
      </w:tblPr>
      <w:tblGrid>
        <w:gridCol w:w="2436"/>
        <w:gridCol w:w="5483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Função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Responsabilidade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Área Requisitante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Identificar necessidade, apoiar avaliação, gerenciar relacionamento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Compras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Processo de contratação, apoio em negociações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DPO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Classificar risco, avaliar conformidade, aprovar, manter inventário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Segurança/TI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Avaliação técnica, gestão de acessos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Jurídico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Elaborar e revisar contratos e DPAs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Gestores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Monitorar prestação de serviço</w:t>
            </w:r>
          </w:p>
        </w:tc>
      </w:tr>
    </w:tbl>
    <w:p>
      <w:r>
        <w:pict>
          <v:rect style="width:0;height:1.5pt" o:hralign="center" o:hrstd="t" o:hr="t"/>
        </w:pict>
      </w:r>
    </w:p>
    <w:bookmarkEnd w:id="54"/>
    <w:bookmarkStart w:id="58" w:name="disposições-finais"/>
    <w:p>
      <w:pPr>
        <w:pStyle w:val="Ttulo2"/>
      </w:pPr>
      <w:r>
        <w:t xml:space="preserve">13. Disposições Finais</w:t>
      </w:r>
    </w:p>
    <w:bookmarkStart w:id="55" w:name="exceções"/>
    <w:p>
      <w:pPr>
        <w:pStyle w:val="Ttulo3"/>
      </w:pPr>
      <w:r>
        <w:t xml:space="preserve">13.1 Exceções</w:t>
      </w:r>
    </w:p>
    <w:p>
      <w:pPr>
        <w:pStyle w:val="FirstParagraph"/>
      </w:pPr>
      <w:r>
        <w:t xml:space="preserve">Exceções a esta política requerem:</w:t>
      </w:r>
      <w:r>
        <w:t xml:space="preserve"> </w:t>
      </w:r>
      <w:r>
        <w:t xml:space="preserve">- Justificativa documentada</w:t>
      </w:r>
      <w:r>
        <w:t xml:space="preserve"> </w:t>
      </w:r>
      <w:r>
        <w:t xml:space="preserve">- Avaliação de risco pelo DPO</w:t>
      </w:r>
      <w:r>
        <w:t xml:space="preserve"> </w:t>
      </w:r>
      <w:r>
        <w:t xml:space="preserve">- Aprovação da Diretoria</w:t>
      </w:r>
      <w:r>
        <w:t xml:space="preserve"> </w:t>
      </w:r>
      <w:r>
        <w:t xml:space="preserve">- Medidas compensatórias definidas</w:t>
      </w:r>
      <w:r>
        <w:t xml:space="preserve"> </w:t>
      </w:r>
      <w:r>
        <w:t xml:space="preserve">- Prazo de validade</w:t>
      </w:r>
    </w:p>
    <w:bookmarkEnd w:id="55"/>
    <w:bookmarkStart w:id="56" w:name="revisão"/>
    <w:p>
      <w:pPr>
        <w:pStyle w:val="Ttulo3"/>
      </w:pPr>
      <w:r>
        <w:t xml:space="preserve">13.2 Revisão</w:t>
      </w:r>
    </w:p>
    <w:p>
      <w:pPr>
        <w:pStyle w:val="FirstParagraph"/>
      </w:pPr>
      <w:r>
        <w:t xml:space="preserve">Esta política será revisada:</w:t>
      </w:r>
      <w:r>
        <w:t xml:space="preserve"> </w:t>
      </w:r>
      <w:r>
        <w:t xml:space="preserve">- Anualmente</w:t>
      </w:r>
      <w:r>
        <w:t xml:space="preserve"> </w:t>
      </w:r>
      <w:r>
        <w:t xml:space="preserve">- Quando houver mudança regulatória</w:t>
      </w:r>
      <w:r>
        <w:t xml:space="preserve"> </w:t>
      </w:r>
      <w:r>
        <w:t xml:space="preserve">- Após incidentes envolvendo terceiros</w:t>
      </w:r>
    </w:p>
    <w:bookmarkEnd w:id="56"/>
    <w:bookmarkStart w:id="57" w:name="documentos-relacionados"/>
    <w:p>
      <w:pPr>
        <w:pStyle w:val="Ttulo3"/>
      </w:pPr>
      <w:r>
        <w:t xml:space="preserve">13.3 Documentos Relacionados</w:t>
      </w:r>
    </w:p>
    <w:p>
      <w:pPr>
        <w:numPr>
          <w:ilvl w:val="0"/>
          <w:numId w:val="1009"/>
        </w:numPr>
        <w:pStyle w:val="Compact"/>
      </w:pPr>
      <w:r>
        <w:t xml:space="preserve">Modelo de DPA</w:t>
      </w:r>
    </w:p>
    <w:p>
      <w:pPr>
        <w:numPr>
          <w:ilvl w:val="0"/>
          <w:numId w:val="1009"/>
        </w:numPr>
        <w:pStyle w:val="Compact"/>
      </w:pPr>
      <w:r>
        <w:t xml:space="preserve">Questionário de Segurança para Terceiros</w:t>
      </w:r>
    </w:p>
    <w:p>
      <w:pPr>
        <w:numPr>
          <w:ilvl w:val="0"/>
          <w:numId w:val="1009"/>
        </w:numPr>
        <w:pStyle w:val="Compact"/>
      </w:pPr>
      <w:r>
        <w:t xml:space="preserve">Checklist de Due Diligence</w:t>
      </w:r>
    </w:p>
    <w:p>
      <w:pPr>
        <w:numPr>
          <w:ilvl w:val="0"/>
          <w:numId w:val="1009"/>
        </w:numPr>
        <w:pStyle w:val="Compact"/>
      </w:pPr>
      <w:r>
        <w:t xml:space="preserve">Política de Segurança da Informação</w:t>
      </w:r>
    </w:p>
    <w:p>
      <w:r>
        <w:pict>
          <v:rect style="width:0;height:1.5pt" o:hralign="center" o:hrstd="t" o:hr="t"/>
        </w:pict>
      </w:r>
    </w:p>
    <w:bookmarkEnd w:id="57"/>
    <w:bookmarkEnd w:id="58"/>
    <w:bookmarkStart w:id="59" w:name="aprovacao"/>
    <w:p>
      <w:pPr>
        <w:pStyle w:val="Ttulo2"/>
      </w:pPr>
      <w:r>
        <w:t xml:space="preserve">Aprovacao</w:t>
      </w:r>
    </w:p>
    <w:tbl>
      <w:tblPr>
        <w:tblStyle w:val="Table"/>
        <w:tblW w:type="pct" w:w="5000"/>
        <w:tblLook w:firstRow="1" w:lastRow="0" w:firstColumn="0" w:lastColumn="0" w:noHBand="0" w:noVBand="0" w:val="0020"/>
        <w:jc w:val="start"/>
      </w:tblPr>
      <w:tblGrid>
        <w:gridCol w:w="1980"/>
        <w:gridCol w:w="1485"/>
        <w:gridCol w:w="2970"/>
        <w:gridCol w:w="1485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Funcao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Nome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Assinatura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Data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DPO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Pedro Henrique Rosa Barbosa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_____________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15/12/2025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Diretor de Tecnologia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Pedro Henrique Rosa Barbosa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_____________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15/12/2025</w:t>
            </w:r>
          </w:p>
        </w:tc>
      </w:tr>
    </w:tbl>
    <w:p>
      <w:r>
        <w:pict>
          <v:rect style="width:0;height:1.5pt" o:hralign="center" o:hrstd="t" o:hr="t"/>
        </w:pict>
      </w:r>
    </w:p>
    <w:bookmarkEnd w:id="59"/>
    <w:bookmarkStart w:id="60" w:name="historico-de-revisoes"/>
    <w:p>
      <w:pPr>
        <w:pStyle w:val="Ttulo2"/>
      </w:pPr>
      <w:r>
        <w:t xml:space="preserve">Historico de Revisoes</w:t>
      </w:r>
    </w:p>
    <w:tbl>
      <w:tblPr>
        <w:tblStyle w:val="Table"/>
        <w:tblW w:type="auto" w:w="0"/>
        <w:tblLook w:firstRow="1" w:lastRow="0" w:firstColumn="0" w:lastColumn="0" w:noHBand="0" w:noVBand="0" w:val="0020"/>
        <w:jc w:val="start"/>
      </w:tblPr>
      <w:tblGrid>
        <w:gridCol w:w="1980"/>
        <w:gridCol w:w="1980"/>
        <w:gridCol w:w="1980"/>
        <w:gridCol w:w="198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Versao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Data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Autor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Descricao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1.0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15/12/2025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Pedro Henrique Rosa Barbosa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Versao inicial</w:t>
            </w:r>
          </w:p>
        </w:tc>
      </w:tr>
    </w:tbl>
    <w:p>
      <w:r>
        <w:pict>
          <v:rect style="width:0;height:1.5pt" o:hralign="center" o:hrstd="t" o:hr="t"/>
        </w:pict>
      </w:r>
    </w:p>
    <w:bookmarkEnd w:id="60"/>
    <w:bookmarkStart w:id="61" w:name="anexos"/>
    <w:p>
      <w:pPr>
        <w:pStyle w:val="Ttulo2"/>
      </w:pPr>
      <w:r>
        <w:t xml:space="preserve">Anexos</w:t>
      </w:r>
    </w:p>
    <w:p>
      <w:pPr>
        <w:numPr>
          <w:ilvl w:val="0"/>
          <w:numId w:val="1010"/>
        </w:numPr>
        <w:pStyle w:val="Compact"/>
      </w:pPr>
      <w:r>
        <w:t xml:space="preserve">Anexo A: Formulário de Solicitação de Novo Terceiro</w:t>
      </w:r>
    </w:p>
    <w:p>
      <w:pPr>
        <w:numPr>
          <w:ilvl w:val="0"/>
          <w:numId w:val="1010"/>
        </w:numPr>
        <w:pStyle w:val="Compact"/>
      </w:pPr>
      <w:r>
        <w:t xml:space="preserve">Anexo B: Questionário de Segurança</w:t>
      </w:r>
    </w:p>
    <w:p>
      <w:pPr>
        <w:numPr>
          <w:ilvl w:val="0"/>
          <w:numId w:val="1010"/>
        </w:numPr>
        <w:pStyle w:val="Compact"/>
      </w:pPr>
      <w:r>
        <w:t xml:space="preserve">Anexo C: Modelo de DPA</w:t>
      </w:r>
    </w:p>
    <w:p>
      <w:pPr>
        <w:numPr>
          <w:ilvl w:val="0"/>
          <w:numId w:val="1010"/>
        </w:numPr>
        <w:pStyle w:val="Compact"/>
      </w:pPr>
      <w:r>
        <w:t xml:space="preserve">Anexo D: Checklist de Due Diligence</w:t>
      </w:r>
    </w:p>
    <w:p>
      <w:pPr>
        <w:numPr>
          <w:ilvl w:val="0"/>
          <w:numId w:val="1010"/>
        </w:numPr>
        <w:pStyle w:val="Compact"/>
      </w:pPr>
      <w:r>
        <w:t xml:space="preserve">Anexo E: Template de Certificado de Eliminação</w:t>
      </w:r>
    </w:p>
    <w:bookmarkEnd w:id="61"/>
    <w:bookmarkEnd w:id="62"/>
    <w:sectPr w:rsidR="00F723F3" w:rsidRPr="00F723F3" w:rsidSect="00F723F3">
      <w:headerReference r:id="rId9" w:type="default"/>
      <w:pgSz w:h="16834" w:w="11909"/>
      <w:pgMar w:bottom="1135" w:footer="720" w:gutter="0" w:header="720" w:left="1276" w:right="994" w:top="2552"/>
      <w:pgNumType w:start="1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  <w:embedRegular r:id="rId1" w:fontKey="{9F460305-BDCD-4495-B064-23C60E04432C}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  <w:embedRegular r:id="rId2" w:fontKey="{D97FEB82-0417-4B50-A9ED-44256E224A96}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D10215" w14:textId="77777777" w:rsidR="00912146" w:rsidRDefault="00000000" w:rsidP="00F723F3">
    <w:pPr>
      <w:ind w:left="142"/>
    </w:pPr>
    <w:r>
      <w:pict w14:anchorId="7CABF40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1025" type="#_x0000_t75" alt="" style="position:absolute;left:0;text-align:left;margin-left:-63.85pt;margin-top:-144.15pt;width:618.2pt;height:867pt;z-index:-251658752;mso-position-horizontal-relative:margin;mso-position-vertical-relative:margin">
          <v:imagedata r:id="rId1" o:title="image1"/>
          <w10:wrap anchorx="margin" anchory="margin"/>
        </v:shape>
      </w:pict>
    </w:r>
  </w:p>
</w:hdr>
</file>

<file path=word/numbering.xml><?xml version="1.0" encoding="utf-8"?>
<w:numbering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="http://schemas.openxmlformats.org/officeDocument/2006/math" xmlns:mc="http://schemas.openxmlformats.org/markup-compatibility/2006" xmlns:o="urn:schemas-microsoft-com:office:office" xmlns:oel="http://schemas.microsoft.com/office/2019/extlst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16 w16cex w16sdtdh w16sdtfl w16du wp14">
  <w:abstractNum w15:restartNumberingAfterBreak="0" w:abstractNumId="0">
    <w:nsid w:val="2D58427F"/>
    <w:multiLevelType w:val="multilevel"/>
    <w:tmpl w:val="9FEE1F4A"/>
    <w:lvl w:ilvl="0">
      <w:start w:val="1"/>
      <w:numFmt w:val="decimal"/>
      <w:lvlText w:val="%1."/>
      <w:lvlJc w:val="left"/>
      <w:pPr>
        <w:ind w:hanging="360" w:left="720"/>
      </w:pPr>
      <w:rPr>
        <w:u w:val="none"/>
      </w:rPr>
    </w:lvl>
    <w:lvl w:ilvl="1">
      <w:start w:val="1"/>
      <w:numFmt w:val="lowerLetter"/>
      <w:lvlText w:val="%2."/>
      <w:lvlJc w:val="left"/>
      <w:pPr>
        <w:ind w:hanging="360" w:left="1440"/>
      </w:pPr>
      <w:rPr>
        <w:u w:val="none"/>
      </w:rPr>
    </w:lvl>
    <w:lvl w:ilvl="2">
      <w:start w:val="1"/>
      <w:numFmt w:val="lowerRoman"/>
      <w:lvlText w:val="%3."/>
      <w:lvlJc w:val="left"/>
      <w:pPr>
        <w:ind w:hanging="360" w:left="2160"/>
      </w:pPr>
      <w:rPr>
        <w:u w:val="none"/>
      </w:rPr>
    </w:lvl>
    <w:lvl w:ilvl="3">
      <w:start w:val="1"/>
      <w:numFmt w:val="decimal"/>
      <w:lvlText w:val="%4."/>
      <w:lvlJc w:val="left"/>
      <w:pPr>
        <w:ind w:hanging="360" w:left="2880"/>
      </w:pPr>
      <w:rPr>
        <w:u w:val="none"/>
      </w:rPr>
    </w:lvl>
    <w:lvl w:ilvl="4">
      <w:start w:val="1"/>
      <w:numFmt w:val="lowerLetter"/>
      <w:lvlText w:val="%5."/>
      <w:lvlJc w:val="left"/>
      <w:pPr>
        <w:ind w:hanging="360" w:left="3600"/>
      </w:pPr>
      <w:rPr>
        <w:u w:val="none"/>
      </w:rPr>
    </w:lvl>
    <w:lvl w:ilvl="5">
      <w:start w:val="1"/>
      <w:numFmt w:val="lowerRoman"/>
      <w:lvlText w:val="%6."/>
      <w:lvlJc w:val="left"/>
      <w:pPr>
        <w:ind w:hanging="360" w:left="4320"/>
      </w:pPr>
      <w:rPr>
        <w:u w:val="none"/>
      </w:rPr>
    </w:lvl>
    <w:lvl w:ilvl="6">
      <w:start w:val="1"/>
      <w:numFmt w:val="decimal"/>
      <w:lvlText w:val="%7."/>
      <w:lvlJc w:val="left"/>
      <w:pPr>
        <w:ind w:hanging="360" w:left="5040"/>
      </w:pPr>
      <w:rPr>
        <w:u w:val="none"/>
      </w:rPr>
    </w:lvl>
    <w:lvl w:ilvl="7">
      <w:start w:val="1"/>
      <w:numFmt w:val="lowerLetter"/>
      <w:lvlText w:val="%8."/>
      <w:lvlJc w:val="left"/>
      <w:pPr>
        <w:ind w:hanging="360" w:left="5760"/>
      </w:pPr>
      <w:rPr>
        <w:u w:val="none"/>
      </w:rPr>
    </w:lvl>
    <w:lvl w:ilvl="8">
      <w:start w:val="1"/>
      <w:numFmt w:val="lowerRoman"/>
      <w:lvlText w:val="%9."/>
      <w:lvlJc w:val="left"/>
      <w:pPr>
        <w:ind w:hanging="360" w:left="6480"/>
      </w:pPr>
      <w:rPr>
        <w:u w:val="none"/>
      </w:rPr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16cid:durableId="11300878" w:numId="1">
    <w:abstractNumId w:val="0"/>
  </w: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embedSystemFonts/>
  <w:stylePaneFormatFilter w:val="0004"/>
  <w:footnotePr>
    <w:footnote w:id="-1"/>
    <w:footnote w:id="0"/>
  </w:footnotePr>
  <w:doNotTrackMoves/>
  <w:drawingGridHorizontalSpacing w:val="360"/>
  <w:drawingGridVerticalSpacing w:val="360"/>
  <w:displayHorizontalDrawingGridEvery w:val="0"/>
  <w:displayVerticalDrawingGridEvery w:val="0"/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proofState w:grammar="clean"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cs="Arial" w:eastAsia="Arial" w:hAnsi="Arial"/>
        <w:sz w:val="22"/>
        <w:szCs w:val="22"/>
        <w:lang w:bidi="ar-SA" w:eastAsia="pt-BR" w:val="pt-BR"/>
      </w:rPr>
    </w:rPrDefault>
    <w:pPrDefault>
      <w:pPr>
        <w:spacing w:line="276" w:lineRule="auto"/>
      </w:pPr>
    </w:pPrDefault>
  </w:docDefaults>
  <w:latentStyles w:count="376" w:defLockedState="0" w:defQFormat="0" w:defSemiHidden="0" w:defUIPriority="99" w:defUnhideWhenUsed="0">
    <w:lsdException w:name="Normal" w:qFormat="1" w:uiPriority="0"/>
    <w:lsdException w:name="heading 1" w:qFormat="1" w:uiPriority="9"/>
    <w:lsdException w:name="heading 2" w:qFormat="1" w:semiHidden="1" w:uiPriority="9" w:unhideWhenUsed="1"/>
    <w:lsdException w:name="heading 3" w:qFormat="1" w:semiHidden="1" w:uiPriority="9" w:unhideWhenUsed="1"/>
    <w:lsdException w:name="heading 4" w:qFormat="1" w:semiHidden="1" w:uiPriority="9" w:unhideWhenUsed="1"/>
    <w:lsdException w:name="heading 5" w:qFormat="1" w:semiHidden="1" w:uiPriority="9" w:unhideWhenUsed="1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qFormat="1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 w:uiPriority="22"/>
    <w:lsdException w:name="Emphasis" w:qFormat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 w:uiPriority="34"/>
    <w:lsdException w:name="Quote" w:qFormat="1" w:uiPriority="29"/>
    <w:lsdException w:name="Intense Quote" w:qFormat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 w:uiPriority="19"/>
    <w:lsdException w:name="Intense Emphasis" w:qFormat="1" w:uiPriority="21"/>
    <w:lsdException w:name="Subtle Reference" w:qFormat="1" w:uiPriority="31"/>
    <w:lsdException w:name="Intense Reference" w:qFormat="1" w:uiPriority="32"/>
    <w:lsdException w:name="Book Title" w:qFormat="1" w:uiPriority="33"/>
    <w:lsdException w:name="Bibliography" w:semiHidden="1" w:uiPriority="37" w:unhideWhenUsed="1"/>
    <w:lsdException w:name="TOC Heading" w:qFormat="1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default="1" w:styleId="Normal" w:type="paragraph">
    <w:name w:val="Normal"/>
    <w:qFormat/>
  </w:style>
  <w:style w:styleId="Ttulo1" w:type="paragraph">
    <w:name w:val="heading 1"/>
    <w:basedOn w:val="Normal"/>
    <w:next w:val="Normal"/>
    <w:uiPriority w:val="9"/>
    <w:qFormat/>
    <w:pPr>
      <w:keepNext/>
      <w:keepLines/>
      <w:spacing w:after="120" w:before="400"/>
      <w:outlineLvl w:val="0"/>
    </w:pPr>
    <w:rPr>
      <w:sz w:val="40"/>
      <w:szCs w:val="40"/>
    </w:rPr>
  </w:style>
  <w:style w:styleId="Ttulo2" w:type="paragraph">
    <w:name w:val="heading 2"/>
    <w:basedOn w:val="Normal"/>
    <w:next w:val="Normal"/>
    <w:uiPriority w:val="9"/>
    <w:unhideWhenUsed/>
    <w:qFormat/>
    <w:pPr>
      <w:keepNext/>
      <w:keepLines/>
      <w:spacing w:after="120" w:before="360"/>
      <w:outlineLvl w:val="1"/>
    </w:pPr>
    <w:rPr>
      <w:sz w:val="32"/>
      <w:szCs w:val="32"/>
    </w:rPr>
  </w:style>
  <w:style w:styleId="Ttulo3" w:type="paragraph">
    <w:name w:val="heading 3"/>
    <w:basedOn w:val="Normal"/>
    <w:next w:val="Normal"/>
    <w:uiPriority w:val="9"/>
    <w:unhideWhenUsed/>
    <w:qFormat/>
    <w:pPr>
      <w:keepNext/>
      <w:keepLines/>
      <w:spacing w:after="80" w:before="320"/>
      <w:outlineLvl w:val="2"/>
    </w:pPr>
    <w:rPr>
      <w:color w:val="434343"/>
      <w:sz w:val="28"/>
      <w:szCs w:val="28"/>
    </w:rPr>
  </w:style>
  <w:style w:styleId="Ttulo4" w:type="paragraph">
    <w:name w:val="heading 4"/>
    <w:basedOn w:val="Normal"/>
    <w:next w:val="Normal"/>
    <w:uiPriority w:val="9"/>
    <w:semiHidden/>
    <w:unhideWhenUsed/>
    <w:qFormat/>
    <w:pPr>
      <w:keepNext/>
      <w:keepLines/>
      <w:spacing w:after="80" w:before="280"/>
      <w:outlineLvl w:val="3"/>
    </w:pPr>
    <w:rPr>
      <w:color w:val="666666"/>
      <w:sz w:val="24"/>
      <w:szCs w:val="24"/>
    </w:rPr>
  </w:style>
  <w:style w:styleId="Ttulo5" w:type="paragraph">
    <w:name w:val="heading 5"/>
    <w:basedOn w:val="Normal"/>
    <w:next w:val="Normal"/>
    <w:uiPriority w:val="9"/>
    <w:semiHidden/>
    <w:unhideWhenUsed/>
    <w:qFormat/>
    <w:pPr>
      <w:keepNext/>
      <w:keepLines/>
      <w:spacing w:after="80" w:before="240"/>
      <w:outlineLvl w:val="4"/>
    </w:pPr>
    <w:rPr>
      <w:color w:val="666666"/>
    </w:rPr>
  </w:style>
  <w:style w:styleId="Ttulo6" w:type="paragraph">
    <w:name w:val="heading 6"/>
    <w:basedOn w:val="Normal"/>
    <w:next w:val="Normal"/>
    <w:uiPriority w:val="9"/>
    <w:semiHidden/>
    <w:unhideWhenUsed/>
    <w:qFormat/>
    <w:pPr>
      <w:keepNext/>
      <w:keepLines/>
      <w:spacing w:after="80" w:before="240"/>
      <w:outlineLvl w:val="5"/>
    </w:pPr>
    <w:rPr>
      <w:i/>
      <w:iCs/>
      <w:color w:val="666666"/>
    </w:rPr>
  </w:style>
  <w:style w:default="1" w:styleId="Fontepargpadro" w:type="character">
    <w:name w:val="Default Paragraph Font"/>
    <w:uiPriority w:val="1"/>
    <w:semiHidden/>
    <w:unhideWhenUsed/>
  </w:style>
  <w:style w:default="1" w:styleId="Tabela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Semlista" w:type="numbering">
    <w:name w:val="No List"/>
    <w:uiPriority w:val="99"/>
    <w:semiHidden/>
    <w:unhideWhenUsed/>
  </w:style>
  <w:style w:customStyle="1" w:styleId="TableNormal" w:type="table">
    <w:name w:val="TableNormal"/>
    <w:tblPr>
      <w:tblCellMar>
        <w:top w:type="dxa" w:w="100"/>
        <w:left w:type="dxa" w:w="100"/>
        <w:bottom w:type="dxa" w:w="100"/>
        <w:right w:type="dxa" w:w="100"/>
      </w:tblCellMar>
    </w:tblPr>
  </w:style>
  <w:style w:styleId="Ttulo" w:type="paragraph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styleId="Subttulo" w:type="paragraph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customStyle="1" w:styleId="a" w:type="table">
    <w:basedOn w:val="TableNormal"/>
    <w:tblPr>
      <w:tblStyleRowBandSize w:val="1"/>
      <w:tblStyleColBandSize w:val="1"/>
    </w:tblPr>
  </w:style>
  <w:style w:styleId="Cabealho" w:type="paragraph">
    <w:name w:val="header"/>
    <w:basedOn w:val="Normal"/>
    <w:link w:val="CabealhoChar"/>
    <w:uiPriority w:val="99"/>
    <w:unhideWhenUsed/>
    <w:rsid w:val="00F723F3"/>
    <w:pPr>
      <w:tabs>
        <w:tab w:pos="4252" w:val="center"/>
        <w:tab w:pos="8504" w:val="right"/>
      </w:tabs>
      <w:spacing w:line="240" w:lineRule="auto"/>
    </w:pPr>
  </w:style>
  <w:style w:customStyle="1" w:styleId="CabealhoChar" w:type="character">
    <w:name w:val="Cabeçalho Char"/>
    <w:basedOn w:val="Fontepargpadro"/>
    <w:link w:val="Cabealho"/>
    <w:uiPriority w:val="99"/>
    <w:rsid w:val="00F723F3"/>
  </w:style>
  <w:style w:styleId="Rodap" w:type="paragraph">
    <w:name w:val="footer"/>
    <w:basedOn w:val="Normal"/>
    <w:link w:val="RodapChar"/>
    <w:uiPriority w:val="99"/>
    <w:unhideWhenUsed/>
    <w:rsid w:val="00F723F3"/>
    <w:pPr>
      <w:tabs>
        <w:tab w:pos="4252" w:val="center"/>
        <w:tab w:pos="8504" w:val="right"/>
      </w:tabs>
      <w:spacing w:line="240" w:lineRule="auto"/>
    </w:pPr>
  </w:style>
  <w:style w:customStyle="1" w:styleId="RodapChar" w:type="character">
    <w:name w:val="Rodapé Char"/>
    <w:basedOn w:val="Fontepargpadro"/>
    <w:link w:val="Rodap"/>
    <w:uiPriority w:val="99"/>
    <w:rsid w:val="00F723F3"/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1.xml" Type="http://schemas.openxmlformats.org/officeDocument/2006/relationships/header" 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footnotes.xml.rels><?xml version="1.0" encoding="UTF-8"?><Relationships xmlns="http://schemas.openxmlformats.org/package/2006/relationships" /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2025-12-17T21:54:52Z</dcterms:created>
  <dcterms:modified xsi:type="dcterms:W3CDTF">2025-12-17T21:54:52Z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